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62" w:rsidRDefault="00220B6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20B62" w:rsidRDefault="00AF3A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Body Awareness</w:t>
      </w:r>
    </w:p>
    <w:p w:rsidR="00220B62" w:rsidRDefault="00AF3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develop body awareness through movement and receiving sensory feedback within the early years. This helps us move within an environment and adapt our movement in </w:t>
      </w:r>
      <w:r>
        <w:rPr>
          <w:rFonts w:ascii="Arial" w:hAnsi="Arial" w:cs="Arial"/>
          <w:sz w:val="24"/>
          <w:szCs w:val="24"/>
        </w:rPr>
        <w:t xml:space="preserve">response to what is happening around us. </w:t>
      </w:r>
    </w:p>
    <w:p w:rsidR="00220B62" w:rsidRDefault="00AF3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body awareness can present many challenges for a child including:</w:t>
      </w:r>
    </w:p>
    <w:p w:rsidR="00220B62" w:rsidRDefault="00AF3A11">
      <w:pPr>
        <w:pStyle w:val="ListParagraph"/>
        <w:numPr>
          <w:ilvl w:val="0"/>
          <w:numId w:val="1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Awkward moving around the classroom or physically challenging environments – bumping into table and chairs</w:t>
      </w:r>
    </w:p>
    <w:p w:rsidR="00220B62" w:rsidRDefault="00AF3A11">
      <w:pPr>
        <w:pStyle w:val="ListParagraph"/>
        <w:numPr>
          <w:ilvl w:val="0"/>
          <w:numId w:val="1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Difficulty placing the body in po</w:t>
      </w:r>
      <w:r>
        <w:rPr>
          <w:rFonts w:ascii="Arial" w:hAnsi="Arial" w:cs="Arial"/>
          <w:sz w:val="24"/>
          <w:szCs w:val="24"/>
        </w:rPr>
        <w:t>sitions e.g. sitting on the floor for carpet time</w:t>
      </w:r>
    </w:p>
    <w:p w:rsidR="00220B62" w:rsidRDefault="00AF3A11">
      <w:pPr>
        <w:pStyle w:val="ListParagraph"/>
        <w:numPr>
          <w:ilvl w:val="0"/>
          <w:numId w:val="1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excessive force and pressure during movement tasks</w:t>
      </w:r>
    </w:p>
    <w:p w:rsidR="00220B62" w:rsidRDefault="00AF3A11">
      <w:pPr>
        <w:pStyle w:val="ListParagraph"/>
        <w:numPr>
          <w:ilvl w:val="0"/>
          <w:numId w:val="1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Dressing difficulty</w:t>
      </w:r>
    </w:p>
    <w:p w:rsidR="00220B62" w:rsidRDefault="00AF3A11">
      <w:pPr>
        <w:pStyle w:val="ListParagraph"/>
        <w:numPr>
          <w:ilvl w:val="0"/>
          <w:numId w:val="1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Difficulty accessing PE</w:t>
      </w:r>
    </w:p>
    <w:p w:rsidR="00220B62" w:rsidRDefault="00220B62">
      <w:pPr>
        <w:rPr>
          <w:rFonts w:ascii="Arial" w:hAnsi="Arial" w:cs="Arial"/>
          <w:b/>
          <w:sz w:val="24"/>
          <w:szCs w:val="24"/>
        </w:rPr>
      </w:pPr>
    </w:p>
    <w:p w:rsidR="00220B62" w:rsidRDefault="00AF3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 that can support developing body awareness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Simple obstacle courses for small groups – moveme</w:t>
      </w:r>
      <w:r>
        <w:rPr>
          <w:rFonts w:ascii="Arial" w:hAnsi="Arial" w:cs="Arial"/>
          <w:sz w:val="24"/>
          <w:szCs w:val="24"/>
        </w:rPr>
        <w:t>nt on different surfaces going in, over, under and through. This provides proprioceptive input to increase body awareness.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Contrast physical activity – stand still like a statue, then wobble like a jelly. Encourage the children to think about how it feels.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Seated push ups – do wall push ups or 4-point kneeling push ups. This provides proprioceptive feedback to the body, increasing awareness of position.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pressure activity – squeezing under cushions in quieter corners. This can be undertaken in small gro</w:t>
      </w:r>
      <w:r>
        <w:rPr>
          <w:rFonts w:ascii="Arial" w:hAnsi="Arial" w:cs="Arial"/>
          <w:sz w:val="24"/>
          <w:szCs w:val="24"/>
        </w:rPr>
        <w:t>ups or with individuals. This provides both proprioceptive and deep touch pressure, increasing awareness of different parts of the body. It is helpful to verbally identify body parts while completing.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Squeezing dough – provides proprioceptive input which i</w:t>
      </w:r>
      <w:r>
        <w:rPr>
          <w:rFonts w:ascii="Arial" w:hAnsi="Arial" w:cs="Arial"/>
          <w:sz w:val="24"/>
          <w:szCs w:val="24"/>
        </w:rPr>
        <w:t>ncreases feedback on hand muscles, joints and ligaments.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Rolling up in PE mats or beanbags – provides proprioceptive and deep touch pressure to increase awareness of the body.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Rolling a gym ball over the body – identify body parts as this is done. Can be c</w:t>
      </w:r>
      <w:r>
        <w:rPr>
          <w:rFonts w:ascii="Arial" w:hAnsi="Arial" w:cs="Arial"/>
          <w:sz w:val="24"/>
          <w:szCs w:val="24"/>
        </w:rPr>
        <w:t>ompleted in small groups or with individuals.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Cognitive strategies – describing the movement that needs to be completed out loud in physically challenging environments (staff and young people).</w:t>
      </w:r>
    </w:p>
    <w:p w:rsidR="00220B62" w:rsidRDefault="00AF3A11">
      <w:pPr>
        <w:pStyle w:val="ListParagraph"/>
        <w:numPr>
          <w:ilvl w:val="0"/>
          <w:numId w:val="2"/>
        </w:numPr>
        <w:spacing w:line="24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Pushing and pulling activities – including moving classroom ch</w:t>
      </w:r>
      <w:r>
        <w:rPr>
          <w:rFonts w:ascii="Arial" w:hAnsi="Arial" w:cs="Arial"/>
          <w:sz w:val="24"/>
          <w:szCs w:val="24"/>
        </w:rPr>
        <w:t>airs, cleaning tables, and carrying equipment such as books to hand out.</w:t>
      </w:r>
    </w:p>
    <w:p w:rsidR="00220B62" w:rsidRDefault="00220B62"/>
    <w:p w:rsidR="00220B62" w:rsidRDefault="00220B62">
      <w:pPr>
        <w:jc w:val="center"/>
      </w:pPr>
    </w:p>
    <w:sectPr w:rsidR="00220B62" w:rsidSect="00220B62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62" w:rsidRDefault="00220B62" w:rsidP="00220B62">
      <w:pPr>
        <w:spacing w:after="0"/>
      </w:pPr>
      <w:r>
        <w:separator/>
      </w:r>
    </w:p>
  </w:endnote>
  <w:endnote w:type="continuationSeparator" w:id="0">
    <w:p w:rsidR="00220B62" w:rsidRDefault="00220B62" w:rsidP="00220B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2" w:rsidRDefault="00220B62">
    <w:pPr>
      <w:pStyle w:val="NormalWeb"/>
      <w:tabs>
        <w:tab w:val="center" w:pos="4513"/>
        <w:tab w:val="right" w:pos="9026"/>
      </w:tabs>
      <w:spacing w:before="0" w:after="0"/>
    </w:pPr>
    <w:hyperlink r:id="rId1" w:history="1">
      <w:r>
        <w:rPr>
          <w:rStyle w:val="Hyperlink"/>
          <w:rFonts w:ascii="Calibri" w:eastAsia="Calibri" w:hAnsi="Calibri"/>
          <w:color w:val="0563C1"/>
          <w:kern w:val="3"/>
          <w:sz w:val="20"/>
          <w:szCs w:val="20"/>
        </w:rPr>
        <w:t>movementforlearning.lgfl.net</w:t>
      </w:r>
    </w:hyperlink>
    <w:r>
      <w:rPr>
        <w:rFonts w:ascii="Calibri" w:eastAsia="Calibri" w:hAnsi="Calibri"/>
        <w:color w:val="000000"/>
        <w:kern w:val="3"/>
        <w:sz w:val="20"/>
        <w:szCs w:val="20"/>
      </w:rPr>
      <w:t xml:space="preserve"> </w:t>
    </w:r>
    <w:r>
      <w:rPr>
        <w:rFonts w:ascii="Calibri" w:eastAsia="Calibri" w:hAnsi="Calibri"/>
        <w:color w:val="000000"/>
        <w:kern w:val="3"/>
        <w:sz w:val="20"/>
        <w:szCs w:val="20"/>
      </w:rPr>
      <w:tab/>
    </w:r>
    <w:r>
      <w:rPr>
        <w:rFonts w:ascii="Calibri" w:eastAsia="Calibri" w:hAnsi="Calibri"/>
        <w:color w:val="000000"/>
        <w:kern w:val="3"/>
        <w:sz w:val="20"/>
        <w:szCs w:val="20"/>
      </w:rPr>
      <w:tab/>
      <w:t>© 2018 London Grid for Learning</w:t>
    </w:r>
  </w:p>
  <w:p w:rsidR="00220B62" w:rsidRDefault="00220B62">
    <w:pPr>
      <w:pStyle w:val="Footer"/>
    </w:pPr>
  </w:p>
  <w:p w:rsidR="00220B62" w:rsidRDefault="00220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62" w:rsidRDefault="00AF3A11" w:rsidP="00220B62">
      <w:pPr>
        <w:spacing w:after="0"/>
      </w:pPr>
      <w:r w:rsidRPr="00220B62">
        <w:rPr>
          <w:color w:val="000000"/>
        </w:rPr>
        <w:separator/>
      </w:r>
    </w:p>
  </w:footnote>
  <w:footnote w:type="continuationSeparator" w:id="0">
    <w:p w:rsidR="00220B62" w:rsidRDefault="00220B62" w:rsidP="00220B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2" w:rsidRDefault="00220B6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02509" cy="422727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509" cy="422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20B62" w:rsidRDefault="00220B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10B7"/>
    <w:multiLevelType w:val="multilevel"/>
    <w:tmpl w:val="05167C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132B95"/>
    <w:multiLevelType w:val="multilevel"/>
    <w:tmpl w:val="486CA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62"/>
    <w:rsid w:val="00220B62"/>
    <w:rsid w:val="00A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0B6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20B62"/>
    <w:pPr>
      <w:ind w:left="720"/>
    </w:pPr>
  </w:style>
  <w:style w:type="paragraph" w:styleId="Header">
    <w:name w:val="header"/>
    <w:basedOn w:val="Normal"/>
    <w:rsid w:val="00220B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220B62"/>
  </w:style>
  <w:style w:type="paragraph" w:styleId="Footer">
    <w:name w:val="footer"/>
    <w:basedOn w:val="Normal"/>
    <w:rsid w:val="00220B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220B62"/>
  </w:style>
  <w:style w:type="paragraph" w:styleId="NormalWeb">
    <w:name w:val="Normal (Web)"/>
    <w:basedOn w:val="Normal"/>
    <w:rsid w:val="00220B62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220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iliencebuilders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Abi1616</dc:creator>
  <cp:lastModifiedBy>John Laker</cp:lastModifiedBy>
  <cp:revision>2</cp:revision>
  <dcterms:created xsi:type="dcterms:W3CDTF">2019-03-13T14:17:00Z</dcterms:created>
  <dcterms:modified xsi:type="dcterms:W3CDTF">2019-03-13T14:17:00Z</dcterms:modified>
</cp:coreProperties>
</file>